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drawing>
          <wp:inline distB="0" distT="0" distL="114300" distR="114300">
            <wp:extent cx="1485900" cy="723900"/>
            <wp:effectExtent b="0" l="0" r="0" t="0"/>
            <wp:docPr descr="Logo&#10;&#10;AI-generated content may be incorrect., Picture, Picture, Picture" id="766965264" name="image2.png"/>
            <a:graphic>
              <a:graphicData uri="http://schemas.openxmlformats.org/drawingml/2006/picture">
                <pic:pic>
                  <pic:nvPicPr>
                    <pic:cNvPr descr="Logo&#10;&#10;AI-generated content may be incorrect., Picture, Picture, Picture" id="0" name="image2.png"/>
                    <pic:cNvPicPr preferRelativeResize="0"/>
                  </pic:nvPicPr>
                  <pic:blipFill>
                    <a:blip r:embed="rId7"/>
                    <a:srcRect b="0" l="0" r="0" t="0"/>
                    <a:stretch>
                      <a:fillRect/>
                    </a:stretch>
                  </pic:blipFill>
                  <pic:spPr>
                    <a:xfrm>
                      <a:off x="0" y="0"/>
                      <a:ext cx="148590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ptos" w:cs="Aptos" w:eastAsia="Aptos" w:hAnsi="Aptos"/>
          <w:sz w:val="24"/>
          <w:szCs w:val="24"/>
        </w:rPr>
      </w:pPr>
      <w:r w:rsidDel="00000000" w:rsidR="00000000" w:rsidRPr="00000000">
        <w:rPr>
          <w:rFonts w:ascii="Aptos" w:cs="Aptos" w:eastAsia="Aptos" w:hAnsi="Aptos"/>
          <w:b w:val="1"/>
          <w:sz w:val="56"/>
          <w:szCs w:val="56"/>
          <w:rtl w:val="0"/>
        </w:rPr>
        <w:t xml:space="preserve">Notice of Public Hearing</w:t>
      </w:r>
      <w:r w:rsidDel="00000000" w:rsidR="00000000" w:rsidRPr="00000000">
        <w:rPr>
          <w:rtl w:val="0"/>
        </w:rPr>
      </w:r>
    </w:p>
    <w:p w:rsidR="00000000" w:rsidDel="00000000" w:rsidP="00000000" w:rsidRDefault="00000000" w:rsidRPr="00000000" w14:paraId="00000003">
      <w:pPr>
        <w:rPr>
          <w:rFonts w:ascii="Aptos" w:cs="Aptos" w:eastAsia="Aptos" w:hAnsi="Aptos"/>
          <w:sz w:val="24"/>
          <w:szCs w:val="24"/>
        </w:rPr>
      </w:pPr>
      <w:r w:rsidDel="00000000" w:rsidR="00000000" w:rsidRPr="00000000">
        <w:rPr>
          <w:rtl w:val="0"/>
        </w:rPr>
      </w:r>
    </w:p>
    <w:tbl>
      <w:tblPr>
        <w:tblStyle w:val="Table1"/>
        <w:tblpPr w:leftFromText="180" w:rightFromText="180" w:topFromText="0" w:bottomFromText="0" w:vertAnchor="text" w:horzAnchor="text" w:tblpX="142.5" w:tblpY="111"/>
        <w:tblW w:w="141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80"/>
        <w:gridCol w:w="4020"/>
        <w:gridCol w:w="3870"/>
        <w:gridCol w:w="2145"/>
        <w:tblGridChange w:id="0">
          <w:tblGrid>
            <w:gridCol w:w="4080"/>
            <w:gridCol w:w="4020"/>
            <w:gridCol w:w="3870"/>
            <w:gridCol w:w="214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jc w:val="cente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Date and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jc w:val="cente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Location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jc w:val="cente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Organizer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cente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School</w:t>
            </w:r>
          </w:p>
        </w:tc>
      </w:tr>
      <w:tr>
        <w:trPr>
          <w:cantSplit w:val="0"/>
          <w:trHeight w:val="2805"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8">
            <w:pPr>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November, 5, 2025</w:t>
            </w:r>
          </w:p>
          <w:p w:rsidR="00000000" w:rsidDel="00000000" w:rsidP="00000000" w:rsidRDefault="00000000" w:rsidRPr="00000000" w14:paraId="00000009">
            <w:pPr>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5:00 p.m. </w:t>
            </w:r>
          </w:p>
          <w:p w:rsidR="00000000" w:rsidDel="00000000" w:rsidP="00000000" w:rsidRDefault="00000000" w:rsidRPr="00000000" w14:paraId="0000000A">
            <w:pPr>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(local time)</w:t>
            </w:r>
          </w:p>
          <w:p w:rsidR="00000000" w:rsidDel="00000000" w:rsidP="00000000" w:rsidRDefault="00000000" w:rsidRPr="00000000" w14:paraId="0000000B">
            <w:pPr>
              <w:jc w:val="center"/>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C">
            <w:pPr>
              <w:jc w:val="center"/>
              <w:rPr>
                <w:rFonts w:ascii="Aptos" w:cs="Aptos" w:eastAsia="Aptos" w:hAnsi="Aptos"/>
                <w:i w:val="1"/>
                <w:sz w:val="24"/>
                <w:szCs w:val="24"/>
              </w:rPr>
            </w:pPr>
            <w:r w:rsidDel="00000000" w:rsidR="00000000" w:rsidRPr="00000000">
              <w:rPr>
                <w:rFonts w:ascii="Aptos" w:cs="Aptos" w:eastAsia="Aptos" w:hAnsi="Aptos"/>
                <w:i w:val="1"/>
                <w:sz w:val="24"/>
                <w:szCs w:val="24"/>
                <w:rtl w:val="0"/>
              </w:rPr>
              <w:t xml:space="preserve">ICSB staff will conclude the public hearing after all attendees have spoken and it is evident no one else will be joining the session.</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D">
            <w:pPr>
              <w:spacing w:after="0" w:before="0" w:line="240" w:lineRule="auto"/>
              <w:ind w:left="0" w:right="0" w:firstLine="0"/>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Higher Institute of Arts and Technology</w:t>
            </w:r>
          </w:p>
          <w:p w:rsidR="00000000" w:rsidDel="00000000" w:rsidP="00000000" w:rsidRDefault="00000000" w:rsidRPr="00000000" w14:paraId="0000000E">
            <w:pPr>
              <w:spacing w:after="0" w:before="0" w:line="240" w:lineRule="auto"/>
              <w:ind w:left="0" w:right="0" w:firstLine="0"/>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5861 Harrison St </w:t>
            </w:r>
          </w:p>
          <w:p w:rsidR="00000000" w:rsidDel="00000000" w:rsidP="00000000" w:rsidRDefault="00000000" w:rsidRPr="00000000" w14:paraId="0000000F">
            <w:pPr>
              <w:spacing w:after="0" w:before="0" w:line="240" w:lineRule="auto"/>
              <w:ind w:left="0" w:right="0" w:firstLine="0"/>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Merrillville, IN 46410</w:t>
            </w:r>
          </w:p>
          <w:p w:rsidR="00000000" w:rsidDel="00000000" w:rsidP="00000000" w:rsidRDefault="00000000" w:rsidRPr="00000000" w14:paraId="00000010">
            <w:pPr>
              <w:spacing w:after="0" w:before="0" w:line="240" w:lineRule="auto"/>
              <w:ind w:left="0" w:right="0" w:firstLine="0"/>
              <w:jc w:val="center"/>
              <w:rPr>
                <w:rFonts w:ascii="Aptos" w:cs="Aptos" w:eastAsia="Aptos" w:hAnsi="Aptos"/>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1">
            <w:pPr>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Higher Institute of Arts and Technology, Inc.</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2">
            <w:pPr>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Higher Institute of Arts and Technology</w:t>
            </w:r>
          </w:p>
          <w:p w:rsidR="00000000" w:rsidDel="00000000" w:rsidP="00000000" w:rsidRDefault="00000000" w:rsidRPr="00000000" w14:paraId="00000013">
            <w:pPr>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14">
            <w:pPr>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Merrillville, IN</w:t>
            </w:r>
          </w:p>
          <w:p w:rsidR="00000000" w:rsidDel="00000000" w:rsidP="00000000" w:rsidRDefault="00000000" w:rsidRPr="00000000" w14:paraId="00000015">
            <w:pPr>
              <w:jc w:val="center"/>
              <w:rPr>
                <w:rFonts w:ascii="Aptos" w:cs="Aptos" w:eastAsia="Aptos" w:hAnsi="Aptos"/>
                <w:sz w:val="24"/>
                <w:szCs w:val="24"/>
              </w:rPr>
            </w:pPr>
            <w:r w:rsidDel="00000000" w:rsidR="00000000" w:rsidRPr="00000000">
              <w:rPr>
                <w:rtl w:val="0"/>
              </w:rPr>
            </w:r>
          </w:p>
        </w:tc>
      </w:tr>
    </w:tbl>
    <w:p w:rsidR="00000000" w:rsidDel="00000000" w:rsidP="00000000" w:rsidRDefault="00000000" w:rsidRPr="00000000" w14:paraId="00000016">
      <w:pPr>
        <w:jc w:val="center"/>
        <w:rPr>
          <w:rFonts w:ascii="Aptos" w:cs="Aptos" w:eastAsia="Aptos" w:hAnsi="Aptos"/>
          <w:b w:val="1"/>
          <w:sz w:val="24"/>
          <w:szCs w:val="24"/>
        </w:rPr>
      </w:pPr>
      <w:r w:rsidDel="00000000" w:rsidR="00000000" w:rsidRPr="00000000">
        <w:rPr>
          <w:rtl w:val="0"/>
        </w:rPr>
      </w:r>
    </w:p>
    <w:tbl>
      <w:tblPr>
        <w:tblStyle w:val="Table2"/>
        <w:tblW w:w="14400.0" w:type="dxa"/>
        <w:jc w:val="left"/>
        <w:tblLayout w:type="fixed"/>
        <w:tblLook w:val="0600"/>
      </w:tblPr>
      <w:tblGrid>
        <w:gridCol w:w="14400"/>
        <w:tblGridChange w:id="0">
          <w:tblGrid>
            <w:gridCol w:w="14400"/>
          </w:tblGrid>
        </w:tblGridChange>
      </w:tblGrid>
      <w:tr>
        <w:trPr>
          <w:cantSplit w:val="0"/>
          <w:trHeight w:val="300" w:hRule="atLeast"/>
          <w:tblHeader w:val="0"/>
        </w:trPr>
        <w:tc>
          <w:tcPr/>
          <w:p w:rsidR="00000000" w:rsidDel="00000000" w:rsidP="00000000" w:rsidRDefault="00000000" w:rsidRPr="00000000" w14:paraId="00000017">
            <w:pPr>
              <w:ind w:left="0" w:firstLine="0"/>
              <w:rPr>
                <w:rFonts w:ascii="Aptos" w:cs="Aptos" w:eastAsia="Aptos" w:hAnsi="Aptos"/>
                <w:b w:val="0"/>
              </w:rPr>
            </w:pPr>
            <w:r w:rsidDel="00000000" w:rsidR="00000000" w:rsidRPr="00000000">
              <w:rPr>
                <w:rFonts w:ascii="Aptos" w:cs="Aptos" w:eastAsia="Aptos" w:hAnsi="Aptos"/>
                <w:b w:val="0"/>
                <w:rtl w:val="0"/>
              </w:rPr>
              <w:t xml:space="preserve">All stakeholders may submit public comment via the QR Code below or through this link: </w:t>
            </w:r>
            <w:hyperlink r:id="rId8">
              <w:r w:rsidDel="00000000" w:rsidR="00000000" w:rsidRPr="00000000">
                <w:rPr>
                  <w:rFonts w:ascii="Aptos" w:cs="Aptos" w:eastAsia="Aptos" w:hAnsi="Aptos"/>
                  <w:b w:val="0"/>
                  <w:strike w:val="0"/>
                  <w:color w:val="0563c1"/>
                  <w:u w:val="single"/>
                  <w:rtl w:val="0"/>
                </w:rPr>
                <w:t xml:space="preserve">https://forms.office.com/g/E8YnRU6KUc</w:t>
              </w:r>
            </w:hyperlink>
            <w:r w:rsidDel="00000000" w:rsidR="00000000" w:rsidRPr="00000000">
              <w:rPr>
                <w:rFonts w:ascii="Aptos" w:cs="Aptos" w:eastAsia="Aptos" w:hAnsi="Aptos"/>
                <w:b w:val="0"/>
                <w:rtl w:val="0"/>
              </w:rPr>
              <w:t xml:space="preserve">. The comment will be included with the information presented to the board.  All public comments have the same consideration.  </w:t>
            </w:r>
            <w:r w:rsidDel="00000000" w:rsidR="00000000" w:rsidRPr="00000000">
              <w:rPr>
                <w:rFonts w:ascii="Aptos" w:cs="Aptos" w:eastAsia="Aptos" w:hAnsi="Aptos"/>
                <w:b w:val="1"/>
                <w:rtl w:val="0"/>
              </w:rPr>
              <w:t xml:space="preserve">The Public Comment period ends November 21, 2025 at 12:00 p.m. ET</w:t>
            </w:r>
            <w:r w:rsidDel="00000000" w:rsidR="00000000" w:rsidRPr="00000000">
              <w:rPr>
                <w:rFonts w:ascii="Aptos" w:cs="Aptos" w:eastAsia="Aptos" w:hAnsi="Aptos"/>
                <w:b w:val="0"/>
                <w:rtl w:val="0"/>
              </w:rPr>
              <w:t xml:space="preserve">.</w:t>
            </w:r>
          </w:p>
        </w:tc>
      </w:tr>
    </w:tbl>
    <w:p w:rsidR="00000000" w:rsidDel="00000000" w:rsidP="00000000" w:rsidRDefault="00000000" w:rsidRPr="00000000" w14:paraId="00000018">
      <w:pPr>
        <w:ind w:left="0" w:firstLine="0"/>
        <w:jc w:val="center"/>
        <w:rPr/>
      </w:pPr>
      <w:r w:rsidDel="00000000" w:rsidR="00000000" w:rsidRPr="00000000">
        <w:rPr/>
        <w:drawing>
          <wp:inline distB="0" distT="0" distL="114300" distR="114300">
            <wp:extent cx="1030314" cy="1024217"/>
            <wp:effectExtent b="0" l="0" r="0" t="0"/>
            <wp:docPr id="76696526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30314" cy="1024217"/>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ptos" w:cs="Aptos" w:eastAsia="Aptos" w:hAnsi="Aptos"/>
          <w:b w:val="0"/>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ptos" w:cs="Aptos" w:eastAsia="Aptos" w:hAnsi="Aptos"/>
          <w:b w:val="0"/>
          <w:i w:val="0"/>
          <w:smallCaps w:val="0"/>
          <w:strike w:val="0"/>
          <w:color w:val="000000"/>
          <w:u w:val="none"/>
          <w:vertAlign w:val="baseline"/>
        </w:rPr>
      </w:pPr>
      <w:r w:rsidDel="00000000" w:rsidR="00000000" w:rsidRPr="00000000">
        <w:rPr>
          <w:rFonts w:ascii="Aptos" w:cs="Aptos" w:eastAsia="Aptos" w:hAnsi="Aptos"/>
          <w:b w:val="0"/>
          <w:i w:val="0"/>
          <w:smallCaps w:val="0"/>
          <w:strike w:val="0"/>
          <w:color w:val="000000"/>
          <w:u w:val="none"/>
          <w:vertAlign w:val="baseline"/>
          <w:rtl w:val="0"/>
        </w:rPr>
        <w:t xml:space="preserve">All public meetings of the Indiana Charter School Board are accessible to persons with disabilities. For persons who are hearing impaired or deaf and who require interpreter services for the meeting, notify Beatriz Garcia in writing at Indiana Charter School Board, 143 W. Market St, Indianapolis, Indiana 46204; by TDD at (317) 232-0570; or by telephone at (317) 232-7585. Notification must be made at least forty-eight (48) business hours in advance of the meeting. For persons who are visually impaired or blind and who require large-print or Braille copies of materials to be distributed at the meeting, please contact the person listed above at least forty-eight (48) business hours in advance of the meeting.</w:t>
      </w:r>
    </w:p>
    <w:sectPr>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FC17B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FC17B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C17B6"/>
    <w:rPr>
      <w:rFonts w:ascii="Segoe UI" w:cs="Segoe UI" w:hAnsi="Segoe UI"/>
      <w:sz w:val="18"/>
      <w:szCs w:val="18"/>
    </w:rPr>
  </w:style>
  <w:style w:type="character" w:styleId="Hyperlink">
    <w:name w:val="Hyperlink"/>
    <w:basedOn w:val="DefaultParagraphFont"/>
    <w:uiPriority w:val="99"/>
    <w:unhideWhenUsed w:val="1"/>
    <w:rsid w:val="005D6AC3"/>
    <w:rPr>
      <w:color w:val="0563c1" w:themeColor="hyperlink"/>
      <w:u w:val="single"/>
    </w:rPr>
  </w:style>
  <w:style w:type="character" w:styleId="UnresolvedMention">
    <w:name w:val="Unresolved Mention"/>
    <w:basedOn w:val="DefaultParagraphFont"/>
    <w:uiPriority w:val="99"/>
    <w:semiHidden w:val="1"/>
    <w:unhideWhenUsed w:val="1"/>
    <w:rsid w:val="005D6AC3"/>
    <w:rPr>
      <w:color w:val="605e5c"/>
      <w:shd w:color="auto" w:fill="e1dfdd" w:val="clear"/>
    </w:rPr>
  </w:style>
  <w:style w:type="paragraph" w:styleId="NormalWeb">
    <w:name w:val="Normal (Web)"/>
    <w:basedOn w:val="Normal"/>
    <w:uiPriority w:val="99"/>
    <w:unhideWhenUsed w:val="1"/>
    <w:rsid w:val="005D6AC3"/>
    <w:pPr>
      <w:spacing w:after="100" w:afterAutospacing="1" w:before="100" w:beforeAutospacing="1"/>
    </w:pPr>
    <w:rPr>
      <w:rFonts w:ascii="Times New Roman" w:cs="Times New Roman" w:eastAsia="Times New Roman" w:hAnsi="Times New Roman"/>
      <w:sz w:val="24"/>
      <w:szCs w:val="24"/>
    </w:rPr>
  </w:style>
  <w:style w:type="character" w:styleId="CommentReference">
    <w:name w:val="annotation reference"/>
    <w:basedOn w:val="DefaultParagraphFont"/>
    <w:uiPriority w:val="99"/>
    <w:semiHidden w:val="1"/>
    <w:unhideWhenUsed w:val="1"/>
    <w:rsid w:val="003471ED"/>
    <w:rPr>
      <w:sz w:val="16"/>
      <w:szCs w:val="16"/>
    </w:rPr>
  </w:style>
  <w:style w:type="paragraph" w:styleId="CommentText">
    <w:name w:val="annotation text"/>
    <w:basedOn w:val="Normal"/>
    <w:link w:val="CommentTextChar"/>
    <w:uiPriority w:val="99"/>
    <w:unhideWhenUsed w:val="1"/>
    <w:rsid w:val="003471ED"/>
    <w:rPr>
      <w:sz w:val="20"/>
      <w:szCs w:val="20"/>
    </w:rPr>
  </w:style>
  <w:style w:type="character" w:styleId="CommentTextChar" w:customStyle="1">
    <w:name w:val="Comment Text Char"/>
    <w:basedOn w:val="DefaultParagraphFont"/>
    <w:link w:val="CommentText"/>
    <w:uiPriority w:val="99"/>
    <w:rsid w:val="003471ED"/>
    <w:rPr>
      <w:sz w:val="20"/>
      <w:szCs w:val="20"/>
    </w:rPr>
  </w:style>
  <w:style w:type="paragraph" w:styleId="CommentSubject">
    <w:name w:val="annotation subject"/>
    <w:basedOn w:val="CommentText"/>
    <w:next w:val="CommentText"/>
    <w:link w:val="CommentSubjectChar"/>
    <w:uiPriority w:val="99"/>
    <w:semiHidden w:val="1"/>
    <w:unhideWhenUsed w:val="1"/>
    <w:rsid w:val="003471ED"/>
    <w:rPr>
      <w:b w:val="1"/>
      <w:bCs w:val="1"/>
    </w:rPr>
  </w:style>
  <w:style w:type="character" w:styleId="CommentSubjectChar" w:customStyle="1">
    <w:name w:val="Comment Subject Char"/>
    <w:basedOn w:val="CommentTextChar"/>
    <w:link w:val="CommentSubject"/>
    <w:uiPriority w:val="99"/>
    <w:semiHidden w:val="1"/>
    <w:rsid w:val="003471ED"/>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forms.office.com/g/E8YnRU6KUc"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veyZ+dnDhrGwcqR1YFlD4xqhhg==">CgMxLjA4AHIhMUd4MjJmbTEtQ2hJaHpmRjF1YVhyTjlWNkpLX3hrTkV6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2021-09-27T16:47:00Z</dcterms:created>
  <dc:creator>Hornyak, Nicole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y fmtid="{D5CDD505-2E9C-101B-9397-08002B2CF9AE}" pid="3" name="MediaServiceImageTags">
    <vt:lpwstr/>
  </property>
</Properties>
</file>